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3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left"/>
        <w:textAlignment w:val="auto"/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杭州创新基金公告附件2：</w:t>
      </w:r>
    </w:p>
    <w:p w14:paraId="58C526AD"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杭州创新基金申报机构自评</w:t>
      </w:r>
      <w:r>
        <w:rPr>
          <w:rFonts w:hint="eastAsia" w:ascii="黑体" w:hAnsi="黑体" w:eastAsia="黑体" w:cs="黑体"/>
          <w:sz w:val="32"/>
          <w:szCs w:val="32"/>
        </w:rPr>
        <w:t>表</w:t>
      </w:r>
    </w:p>
    <w:tbl>
      <w:tblPr>
        <w:tblStyle w:val="8"/>
        <w:tblpPr w:leftFromText="180" w:rightFromText="180" w:vertAnchor="text" w:horzAnchor="page" w:tblpXSpec="center" w:tblpY="59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528"/>
        <w:gridCol w:w="5640"/>
        <w:gridCol w:w="4974"/>
        <w:gridCol w:w="1524"/>
      </w:tblGrid>
      <w:tr w14:paraId="16373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  <w:jc w:val="center"/>
        </w:trPr>
        <w:tc>
          <w:tcPr>
            <w:tcW w:w="2036" w:type="dxa"/>
            <w:gridSpan w:val="2"/>
            <w:shd w:val="clear" w:color="auto" w:fill="F1F1F1" w:themeFill="background1" w:themeFillShade="F2"/>
          </w:tcPr>
          <w:p w14:paraId="0EF1F05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自评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项</w:t>
            </w:r>
          </w:p>
        </w:tc>
        <w:tc>
          <w:tcPr>
            <w:tcW w:w="5640" w:type="dxa"/>
            <w:shd w:val="clear" w:color="auto" w:fill="F1F1F1" w:themeFill="background1" w:themeFillShade="F2"/>
          </w:tcPr>
          <w:p w14:paraId="13A1C48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要求</w:t>
            </w:r>
          </w:p>
        </w:tc>
        <w:tc>
          <w:tcPr>
            <w:tcW w:w="4974" w:type="dxa"/>
            <w:shd w:val="clear" w:color="auto" w:fill="F1F1F1" w:themeFill="background1" w:themeFillShade="F2"/>
          </w:tcPr>
          <w:p w14:paraId="59D39DE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申报机构（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申报基金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自评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情况</w:t>
            </w:r>
          </w:p>
        </w:tc>
        <w:tc>
          <w:tcPr>
            <w:tcW w:w="1524" w:type="dxa"/>
            <w:shd w:val="clear" w:color="auto" w:fill="F1F1F1" w:themeFill="background1" w:themeFillShade="F2"/>
          </w:tcPr>
          <w:p w14:paraId="04AF72A9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是否符合</w:t>
            </w:r>
          </w:p>
        </w:tc>
      </w:tr>
      <w:tr w14:paraId="6BBA0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508" w:type="dxa"/>
            <w:vMerge w:val="restart"/>
            <w:vAlign w:val="center"/>
          </w:tcPr>
          <w:p w14:paraId="324EC172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基金管理机构资质要求</w:t>
            </w:r>
          </w:p>
        </w:tc>
        <w:tc>
          <w:tcPr>
            <w:tcW w:w="1528" w:type="dxa"/>
            <w:vAlign w:val="center"/>
          </w:tcPr>
          <w:p w14:paraId="087C9B50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管理资质</w:t>
            </w:r>
          </w:p>
        </w:tc>
        <w:tc>
          <w:tcPr>
            <w:tcW w:w="5640" w:type="dxa"/>
            <w:vAlign w:val="center"/>
          </w:tcPr>
          <w:p w14:paraId="638D44F2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在中国证券投资基金业协会登记为私募基金管理人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且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注册资本不低于人民币1000万元；</w:t>
            </w:r>
          </w:p>
        </w:tc>
        <w:tc>
          <w:tcPr>
            <w:tcW w:w="4974" w:type="dxa"/>
            <w:vAlign w:val="center"/>
          </w:tcPr>
          <w:p w14:paraId="1E9DB607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管理人全称、备案编码与注册资本实缴情况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）</w:t>
            </w:r>
          </w:p>
        </w:tc>
        <w:tc>
          <w:tcPr>
            <w:tcW w:w="1524" w:type="dxa"/>
            <w:vAlign w:val="center"/>
          </w:tcPr>
          <w:p w14:paraId="36AE9478"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6F29E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508" w:type="dxa"/>
            <w:vMerge w:val="continue"/>
            <w:vAlign w:val="center"/>
          </w:tcPr>
          <w:p w14:paraId="262D075F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 w14:paraId="3B193AB1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资信要求</w:t>
            </w:r>
          </w:p>
        </w:tc>
        <w:tc>
          <w:tcPr>
            <w:tcW w:w="5640" w:type="dxa"/>
            <w:vAlign w:val="center"/>
          </w:tcPr>
          <w:p w14:paraId="1B51C284">
            <w:pPr>
              <w:jc w:val="both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基金管理人具有良好的资信状况和财务状况，且最近五年内不存在重大违法违规行为，没有受过行政主管机关或司法机关重大处罚的不良记录。</w:t>
            </w:r>
          </w:p>
        </w:tc>
        <w:tc>
          <w:tcPr>
            <w:tcW w:w="4974" w:type="dxa"/>
            <w:vAlign w:val="center"/>
          </w:tcPr>
          <w:p w14:paraId="64961A0D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4EB01E0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10ABD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508" w:type="dxa"/>
            <w:vMerge w:val="continue"/>
            <w:vAlign w:val="center"/>
          </w:tcPr>
          <w:p w14:paraId="45BB12A6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 w14:paraId="6E824A03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团队配备</w:t>
            </w:r>
          </w:p>
        </w:tc>
        <w:tc>
          <w:tcPr>
            <w:tcW w:w="5640" w:type="dxa"/>
            <w:vAlign w:val="center"/>
          </w:tcPr>
          <w:p w14:paraId="36271853">
            <w:pPr>
              <w:jc w:val="both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管理团队稳定，具有良好的管理业绩和职业操守，至少配备10名前台投资人员，其中至少有3名具备3年以上的股权投资经验。</w:t>
            </w:r>
          </w:p>
        </w:tc>
        <w:tc>
          <w:tcPr>
            <w:tcW w:w="4974" w:type="dxa"/>
            <w:vAlign w:val="center"/>
          </w:tcPr>
          <w:p w14:paraId="6F4B0F02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4FEB50F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577C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508" w:type="dxa"/>
            <w:vMerge w:val="continue"/>
            <w:vAlign w:val="center"/>
          </w:tcPr>
          <w:p w14:paraId="75096836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 w14:paraId="619ABD4C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管理业绩</w:t>
            </w:r>
          </w:p>
        </w:tc>
        <w:tc>
          <w:tcPr>
            <w:tcW w:w="5640" w:type="dxa"/>
            <w:vAlign w:val="center"/>
          </w:tcPr>
          <w:p w14:paraId="3FEB8F9A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基金管理人或核心管理团队有3个（含）以上股权投资的成功退出案例，单个已退出项目年平均收益率不低于20%（含）；或基金管理人在杭州“296X”先进制造业集群相关领域已投未退出项目中，按照最新融资价格（未上市）或者最新市值（已上市）测算，年平均收益率（单利）不低于20%（含）的股权投资案例不少于3个（含）。</w:t>
            </w:r>
          </w:p>
        </w:tc>
        <w:tc>
          <w:tcPr>
            <w:tcW w:w="4974" w:type="dxa"/>
            <w:vAlign w:val="center"/>
          </w:tcPr>
          <w:p w14:paraId="644DBC18">
            <w:pPr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各案例信息包括但不限于：案例名称、投资主体、项目负责人及现任职务、案例简介、退出方式及收益率</w:t>
            </w:r>
            <w:r>
              <w:rPr>
                <w:rFonts w:hint="eastAsia" w:ascii="楷体" w:hAnsi="楷体" w:eastAsia="楷体" w:cs="楷体"/>
                <w:b/>
                <w:bCs/>
                <w:szCs w:val="21"/>
                <w:lang w:val="en-US" w:eastAsia="zh-CN"/>
              </w:rPr>
              <w:t>或</w:t>
            </w:r>
            <w:r>
              <w:rPr>
                <w:rFonts w:hint="eastAsia" w:ascii="楷体" w:hAnsi="楷体" w:eastAsia="楷体" w:cs="楷体"/>
                <w:b w:val="0"/>
                <w:bCs w:val="0"/>
                <w:szCs w:val="21"/>
                <w:lang w:val="en-US" w:eastAsia="zh-CN"/>
              </w:rPr>
              <w:t>估值方式及测算收益率等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）</w:t>
            </w:r>
          </w:p>
        </w:tc>
        <w:tc>
          <w:tcPr>
            <w:tcW w:w="1524" w:type="dxa"/>
            <w:vAlign w:val="center"/>
          </w:tcPr>
          <w:p w14:paraId="11207ED8">
            <w:pPr>
              <w:jc w:val="center"/>
              <w:rPr>
                <w:rFonts w:hint="eastAsia" w:ascii="楷体" w:hAnsi="楷体" w:eastAsia="楷体" w:cs="楷体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76A1D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08" w:type="dxa"/>
            <w:vMerge w:val="continue"/>
            <w:vAlign w:val="center"/>
          </w:tcPr>
          <w:p w14:paraId="24E16A78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28" w:type="dxa"/>
            <w:vMerge w:val="restart"/>
            <w:vAlign w:val="center"/>
          </w:tcPr>
          <w:p w14:paraId="60645A4B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募资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能力</w:t>
            </w:r>
          </w:p>
        </w:tc>
        <w:tc>
          <w:tcPr>
            <w:tcW w:w="5640" w:type="dxa"/>
            <w:vAlign w:val="center"/>
          </w:tcPr>
          <w:p w14:paraId="3CC3F2B2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基金管理人或执行事务合伙人认缴金额不低于基金目标规模的1%；</w:t>
            </w:r>
          </w:p>
        </w:tc>
        <w:tc>
          <w:tcPr>
            <w:tcW w:w="4974" w:type="dxa"/>
            <w:vAlign w:val="center"/>
          </w:tcPr>
          <w:p w14:paraId="3CD06B51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69DF467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365C0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08" w:type="dxa"/>
            <w:vMerge w:val="continue"/>
            <w:vAlign w:val="center"/>
          </w:tcPr>
          <w:p w14:paraId="644BDA92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28" w:type="dxa"/>
            <w:vMerge w:val="continue"/>
            <w:vAlign w:val="center"/>
          </w:tcPr>
          <w:p w14:paraId="52FB7D1C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5640" w:type="dxa"/>
            <w:vAlign w:val="center"/>
          </w:tcPr>
          <w:p w14:paraId="3BD772C6">
            <w:pPr>
              <w:jc w:val="both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  <w:t>基金管理人具有较强的募资能力，拟申报基金需储备有明确意向的出资人。在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杭州创新基金</w:t>
            </w:r>
            <w: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  <w:t>履行投资决策前，拟投基金应确认首关规模，且其他相关出资方意向认缴出资比例合计不低于50%。</w:t>
            </w:r>
          </w:p>
        </w:tc>
        <w:tc>
          <w:tcPr>
            <w:tcW w:w="4974" w:type="dxa"/>
            <w:vAlign w:val="center"/>
          </w:tcPr>
          <w:p w14:paraId="5D9EAEDC">
            <w:pPr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（请注明当前储备意向投资人构成并备注是否已取得出资承诺函，请说明后续募集计划）</w:t>
            </w:r>
          </w:p>
        </w:tc>
        <w:tc>
          <w:tcPr>
            <w:tcW w:w="1524" w:type="dxa"/>
            <w:vAlign w:val="center"/>
          </w:tcPr>
          <w:p w14:paraId="30FF032E">
            <w:pPr>
              <w:jc w:val="center"/>
              <w:rPr>
                <w:rFonts w:hint="eastAsia" w:ascii="楷体" w:hAnsi="楷体" w:eastAsia="楷体" w:cs="楷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0E989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508" w:type="dxa"/>
            <w:vMerge w:val="continue"/>
            <w:vAlign w:val="center"/>
          </w:tcPr>
          <w:p w14:paraId="35855522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 w14:paraId="5BC3C454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内控制度</w:t>
            </w:r>
          </w:p>
        </w:tc>
        <w:tc>
          <w:tcPr>
            <w:tcW w:w="5640" w:type="dxa"/>
            <w:vAlign w:val="center"/>
          </w:tcPr>
          <w:p w14:paraId="72E16E98">
            <w:pPr>
              <w:jc w:val="both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拥有健全的投资管理和风险控制机制，规范的基金或项目遴选机制，专业高效的投资决策机制。</w:t>
            </w:r>
          </w:p>
        </w:tc>
        <w:tc>
          <w:tcPr>
            <w:tcW w:w="4974" w:type="dxa"/>
            <w:vAlign w:val="center"/>
          </w:tcPr>
          <w:p w14:paraId="7BB23FF6">
            <w:pPr>
              <w:jc w:val="both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（请说明内控制度建设情况等）</w:t>
            </w:r>
          </w:p>
        </w:tc>
        <w:tc>
          <w:tcPr>
            <w:tcW w:w="1524" w:type="dxa"/>
            <w:vAlign w:val="center"/>
          </w:tcPr>
          <w:p w14:paraId="045562DD">
            <w:pPr>
              <w:jc w:val="center"/>
              <w:rPr>
                <w:rFonts w:hint="eastAsia" w:ascii="楷体" w:hAnsi="楷体" w:eastAsia="楷体" w:cs="楷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3216C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508" w:type="dxa"/>
            <w:vMerge w:val="restart"/>
            <w:vAlign w:val="center"/>
          </w:tcPr>
          <w:p w14:paraId="6F0CB40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申报基金基本要求</w:t>
            </w:r>
          </w:p>
        </w:tc>
        <w:tc>
          <w:tcPr>
            <w:tcW w:w="1528" w:type="dxa"/>
            <w:vAlign w:val="center"/>
          </w:tcPr>
          <w:p w14:paraId="090BE49E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基金投资方向</w:t>
            </w:r>
          </w:p>
        </w:tc>
        <w:tc>
          <w:tcPr>
            <w:tcW w:w="5640" w:type="dxa"/>
            <w:vAlign w:val="center"/>
          </w:tcPr>
          <w:p w14:paraId="286C4868">
            <w:pPr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具有清晰的投资策略，主要投向符合杭州“296X”先进制造业集群相关领域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。</w:t>
            </w:r>
          </w:p>
        </w:tc>
        <w:tc>
          <w:tcPr>
            <w:tcW w:w="4974" w:type="dxa"/>
            <w:vAlign w:val="center"/>
          </w:tcPr>
          <w:p w14:paraId="0AB455CF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2B36070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1D28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508" w:type="dxa"/>
            <w:vMerge w:val="continue"/>
            <w:vAlign w:val="center"/>
          </w:tcPr>
          <w:p w14:paraId="04B98C78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28" w:type="dxa"/>
            <w:vAlign w:val="center"/>
          </w:tcPr>
          <w:p w14:paraId="262A5BA9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申请杭州创新基金出资比例</w:t>
            </w:r>
          </w:p>
        </w:tc>
        <w:tc>
          <w:tcPr>
            <w:tcW w:w="5640" w:type="dxa"/>
            <w:vAlign w:val="center"/>
          </w:tcPr>
          <w:p w14:paraId="564CC0F0">
            <w:pPr>
              <w:jc w:val="both"/>
              <w:rPr>
                <w:rFonts w:hint="eastAsia" w:ascii="仿宋_GB2312" w:hAnsi="仿宋_GB2312" w:eastAsia="仿宋_GB2312" w:cs="仿宋_GB2312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杭州创新基金出资比例最高不超过拟申报基金认缴总规模的30%。</w:t>
            </w:r>
          </w:p>
        </w:tc>
        <w:tc>
          <w:tcPr>
            <w:tcW w:w="4974" w:type="dxa"/>
            <w:vAlign w:val="center"/>
          </w:tcPr>
          <w:p w14:paraId="3A26B4BB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60D8B24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3D3C7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08" w:type="dxa"/>
            <w:vMerge w:val="continue"/>
            <w:vAlign w:val="center"/>
          </w:tcPr>
          <w:p w14:paraId="31B5666A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28" w:type="dxa"/>
            <w:vAlign w:val="center"/>
          </w:tcPr>
          <w:p w14:paraId="22EA6A7A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基金注册地</w:t>
            </w:r>
          </w:p>
        </w:tc>
        <w:tc>
          <w:tcPr>
            <w:tcW w:w="5640" w:type="dxa"/>
            <w:vAlign w:val="center"/>
          </w:tcPr>
          <w:p w14:paraId="64D52959">
            <w:pPr>
              <w:jc w:val="both"/>
              <w:rPr>
                <w:rFonts w:hint="eastAsia" w:ascii="仿宋_GB2312" w:hAnsi="仿宋_GB2312" w:eastAsia="仿宋_GB2312" w:cs="仿宋_GB2312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拟申报基金注册地应在杭州市。</w:t>
            </w:r>
          </w:p>
        </w:tc>
        <w:tc>
          <w:tcPr>
            <w:tcW w:w="4974" w:type="dxa"/>
            <w:vAlign w:val="center"/>
          </w:tcPr>
          <w:p w14:paraId="13FC5DBD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4BE6C86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  <w:tr w14:paraId="17092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508" w:type="dxa"/>
            <w:vMerge w:val="continue"/>
            <w:vAlign w:val="center"/>
          </w:tcPr>
          <w:p w14:paraId="6A5C621E"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28" w:type="dxa"/>
            <w:vAlign w:val="center"/>
          </w:tcPr>
          <w:p w14:paraId="3BF6574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基金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存续期</w:t>
            </w:r>
          </w:p>
        </w:tc>
        <w:tc>
          <w:tcPr>
            <w:tcW w:w="5640" w:type="dxa"/>
            <w:vAlign w:val="center"/>
          </w:tcPr>
          <w:p w14:paraId="2D533FFF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拟申报基金存续期不超过15年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含延长期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  <w:tc>
          <w:tcPr>
            <w:tcW w:w="4974" w:type="dxa"/>
            <w:vAlign w:val="center"/>
          </w:tcPr>
          <w:p w14:paraId="0DAB424C">
            <w:pPr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24" w:type="dxa"/>
            <w:vAlign w:val="center"/>
          </w:tcPr>
          <w:p w14:paraId="332BAF50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是□  否□</w:t>
            </w:r>
          </w:p>
        </w:tc>
      </w:tr>
    </w:tbl>
    <w:p w14:paraId="42CAF52F">
      <w:pPr>
        <w:pStyle w:val="4"/>
        <w:ind w:left="0" w:leftChars="0" w:firstLine="0" w:firstLineChars="0"/>
        <w:rPr>
          <w:rFonts w:hint="eastAsia"/>
        </w:rPr>
      </w:pPr>
    </w:p>
    <w:p w14:paraId="477674B2">
      <w:pPr>
        <w:pStyle w:val="4"/>
        <w:wordWrap w:val="0"/>
        <w:jc w:val="center"/>
        <w:rPr>
          <w:rFonts w:hint="default" w:ascii="仿宋" w:hAnsi="仿宋" w:eastAsia="仿宋" w:cs="仿宋"/>
          <w:spacing w:val="-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 xml:space="preserve">                                                   申报机构（公章）：         </w:t>
      </w:r>
    </w:p>
    <w:p w14:paraId="188ACD0C">
      <w:pPr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 xml:space="preserve">                                                                          日  期 ： </w:t>
      </w:r>
      <w:r>
        <w:rPr>
          <w:rFonts w:hint="eastAsia"/>
          <w:sz w:val="22"/>
          <w:szCs w:val="28"/>
          <w:lang w:val="en-US" w:eastAsia="zh-CN"/>
        </w:rPr>
        <w:t xml:space="preserve"> 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C0BD39">
    <w:pPr>
      <w:pStyle w:val="5"/>
      <w:tabs>
        <w:tab w:val="center" w:pos="4309"/>
        <w:tab w:val="clear" w:pos="4153"/>
      </w:tabs>
      <w:rPr>
        <w:rFonts w:hint="eastAsia" w:ascii="宋体" w:hAnsi="宋体" w:eastAsia="宋体" w:cs="宋体"/>
        <w:sz w:val="24"/>
      </w:rPr>
    </w:pPr>
    <w:r>
      <w:rPr>
        <w:rFonts w:hint="eastAsia" w:ascii="宋体" w:hAnsi="宋体" w:eastAsia="宋体" w:cs="宋体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6E4B4E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6E4B4E">
                    <w:pPr>
                      <w:pStyle w:val="5"/>
                      <w:rPr>
                        <w:rFonts w:hint="eastAsia" w:ascii="宋体" w:hAnsi="宋体" w:eastAsia="宋体" w:cs="宋体"/>
                        <w:sz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4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75121"/>
    <w:rsid w:val="07A65E96"/>
    <w:rsid w:val="2DF1270D"/>
    <w:rsid w:val="406C796F"/>
    <w:rsid w:val="50795316"/>
    <w:rsid w:val="54975121"/>
    <w:rsid w:val="7CFA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1044" w:firstLineChars="200"/>
      <w:outlineLvl w:val="2"/>
    </w:pPr>
    <w:rPr>
      <w:rFonts w:ascii="Times New Roman" w:hAnsi="Times New Roman" w:eastAsia="楷体" w:cs="Times New Roman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/>
    </w:pPr>
    <w:rPr>
      <w:sz w:val="24"/>
      <w:szCs w:val="24"/>
    </w:r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870</Words>
  <Characters>890</Characters>
  <Lines>0</Lines>
  <Paragraphs>0</Paragraphs>
  <TotalTime>5</TotalTime>
  <ScaleCrop>false</ScaleCrop>
  <LinksUpToDate>false</LinksUpToDate>
  <CharactersWithSpaces>1051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2026-05-21T05:00:00Z</dcterms:created>
  <dc:creator>ctyy</dc:creator>
  <cp:lastModifiedBy>ctyy</cp:lastModifiedBy>
  <dcterms:modified xsi:type="dcterms:W3CDTF">2026-05-22T09:10:19Z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05D5391675974F49B17A65C8D346BF12_13</vt:lpwstr>
  </property>
  <property fmtid="{D5CDD505-2E9C-101B-9397-08002B2CF9AE}" pid="4" name="KSOTemplateDocerSaveRecord">
    <vt:lpwstr>eyJoZGlkIjoiM2Q2YWQ0ZWI5NjlkNWQ0YTFlMTA3ZjE2NDk3YTE4NmQiLCJ1c2VySWQiOiIzMTk3NjgyNDUifQ==</vt:lpwstr>
  </property>
</Properties>
</file>